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B618" w14:textId="77777777" w:rsidR="00314A22" w:rsidRDefault="00314A22" w:rsidP="00314A22">
      <w:pPr>
        <w:tabs>
          <w:tab w:val="left" w:pos="720"/>
        </w:tabs>
        <w:ind w:left="1350" w:hanging="1440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1.0</w:t>
      </w:r>
      <w:r>
        <w:rPr>
          <w:b/>
          <w:sz w:val="22"/>
        </w:rPr>
        <w:tab/>
      </w:r>
      <w:r>
        <w:rPr>
          <w:b/>
          <w:sz w:val="22"/>
          <w:u w:val="single"/>
        </w:rPr>
        <w:t>Purpose:</w:t>
      </w:r>
      <w:r>
        <w:rPr>
          <w:b/>
          <w:sz w:val="22"/>
        </w:rPr>
        <w:tab/>
      </w:r>
    </w:p>
    <w:p w14:paraId="7DD9650A" w14:textId="77777777" w:rsidR="00314A22" w:rsidRPr="00A64A6C" w:rsidRDefault="00A64A6C" w:rsidP="00A64A6C">
      <w:pPr>
        <w:pStyle w:val="Default"/>
        <w:ind w:left="720"/>
        <w:jc w:val="both"/>
        <w:rPr>
          <w:rFonts w:ascii="Arial" w:hAnsi="Arial" w:cs="Arial"/>
        </w:rPr>
      </w:pPr>
      <w:r w:rsidRPr="00A64A6C">
        <w:rPr>
          <w:rFonts w:ascii="Arial" w:hAnsi="Arial" w:cs="Arial"/>
        </w:rPr>
        <w:t>The primary responsibility of the S</w:t>
      </w:r>
      <w:r>
        <w:rPr>
          <w:rFonts w:ascii="Arial" w:hAnsi="Arial" w:cs="Arial"/>
        </w:rPr>
        <w:t>afety Officer</w:t>
      </w:r>
      <w:r w:rsidRPr="00A64A6C">
        <w:rPr>
          <w:rFonts w:ascii="Arial" w:hAnsi="Arial" w:cs="Arial"/>
        </w:rPr>
        <w:t xml:space="preserve"> at every incident or training activity is to </w:t>
      </w:r>
      <w:r w:rsidR="00E40B23">
        <w:rPr>
          <w:rFonts w:ascii="Arial" w:hAnsi="Arial" w:cs="Arial"/>
        </w:rPr>
        <w:t>protect the safety of the members</w:t>
      </w:r>
      <w:r w:rsidRPr="00A64A6C">
        <w:rPr>
          <w:rFonts w:ascii="Arial" w:hAnsi="Arial" w:cs="Arial"/>
        </w:rPr>
        <w:t xml:space="preserve">. This guideline will identify circumstances when the </w:t>
      </w:r>
      <w:r>
        <w:rPr>
          <w:rFonts w:ascii="Arial" w:hAnsi="Arial" w:cs="Arial"/>
        </w:rPr>
        <w:t xml:space="preserve">Tarrant County Fire &amp; Arson Investigation Task Force </w:t>
      </w:r>
      <w:r w:rsidRPr="00A64A6C">
        <w:rPr>
          <w:rFonts w:ascii="Arial" w:hAnsi="Arial" w:cs="Arial"/>
        </w:rPr>
        <w:t>will designate a safety officer. This guideline applies</w:t>
      </w:r>
      <w:r w:rsidR="00E40B23">
        <w:rPr>
          <w:rFonts w:ascii="Arial" w:hAnsi="Arial" w:cs="Arial"/>
        </w:rPr>
        <w:t xml:space="preserve"> to all incidents </w:t>
      </w:r>
      <w:r w:rsidRPr="00A64A6C">
        <w:rPr>
          <w:rFonts w:ascii="Arial" w:hAnsi="Arial" w:cs="Arial"/>
        </w:rPr>
        <w:t xml:space="preserve">and training. </w:t>
      </w:r>
    </w:p>
    <w:p w14:paraId="180632BB" w14:textId="77777777" w:rsidR="00314A22" w:rsidRDefault="00314A22" w:rsidP="00314A22">
      <w:pPr>
        <w:pStyle w:val="BodyText2"/>
        <w:ind w:left="720"/>
      </w:pPr>
    </w:p>
    <w:p w14:paraId="40D4E834" w14:textId="77777777" w:rsidR="00314A22" w:rsidRDefault="00314A22" w:rsidP="00314A22">
      <w:pPr>
        <w:pStyle w:val="BodyText2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Responsibilities:</w:t>
      </w:r>
    </w:p>
    <w:p w14:paraId="42DCFC8A" w14:textId="77777777" w:rsidR="00314A22" w:rsidRDefault="00314A22" w:rsidP="00A64A6C">
      <w:pPr>
        <w:pStyle w:val="Default"/>
        <w:ind w:left="720"/>
        <w:jc w:val="both"/>
      </w:pPr>
      <w:r w:rsidRPr="00A64A6C">
        <w:rPr>
          <w:rFonts w:ascii="Arial" w:hAnsi="Arial" w:cs="Arial"/>
        </w:rPr>
        <w:t xml:space="preserve">It is the responsibility of each member to </w:t>
      </w:r>
      <w:r w:rsidR="00A64A6C" w:rsidRPr="00A64A6C">
        <w:rPr>
          <w:rFonts w:ascii="Arial" w:hAnsi="Arial" w:cs="Arial"/>
        </w:rPr>
        <w:t xml:space="preserve">adhere to all safety rules, regulations, and procedures set forth by the </w:t>
      </w:r>
      <w:r w:rsidR="00A64A6C">
        <w:rPr>
          <w:rFonts w:ascii="Arial" w:hAnsi="Arial" w:cs="Arial"/>
        </w:rPr>
        <w:t>Tarrant County Fire &amp; Arson Investigation Task Force.</w:t>
      </w:r>
      <w:r>
        <w:t xml:space="preserve"> </w:t>
      </w:r>
    </w:p>
    <w:p w14:paraId="32D11852" w14:textId="77777777" w:rsidR="00314A22" w:rsidRDefault="00314A22" w:rsidP="00314A22">
      <w:pPr>
        <w:pStyle w:val="BodyText2"/>
      </w:pPr>
    </w:p>
    <w:p w14:paraId="1A9EC1A1" w14:textId="77777777" w:rsidR="00314A22" w:rsidRDefault="00314A22" w:rsidP="00314A22">
      <w:pPr>
        <w:ind w:left="720" w:hanging="720"/>
        <w:jc w:val="both"/>
        <w:rPr>
          <w:b/>
          <w:sz w:val="22"/>
          <w:u w:val="single"/>
        </w:rPr>
      </w:pPr>
      <w:r>
        <w:rPr>
          <w:b/>
          <w:sz w:val="22"/>
        </w:rPr>
        <w:t>3.0</w:t>
      </w:r>
      <w:r>
        <w:rPr>
          <w:b/>
          <w:sz w:val="22"/>
        </w:rPr>
        <w:tab/>
      </w:r>
      <w:r>
        <w:rPr>
          <w:b/>
          <w:sz w:val="22"/>
          <w:u w:val="single"/>
        </w:rPr>
        <w:t>Policy:</w:t>
      </w:r>
    </w:p>
    <w:p w14:paraId="57770E09" w14:textId="77777777" w:rsidR="00314A22" w:rsidRPr="00E40B23" w:rsidRDefault="00314A22" w:rsidP="00314A22">
      <w:pPr>
        <w:ind w:left="720"/>
        <w:jc w:val="both"/>
        <w:rPr>
          <w:szCs w:val="24"/>
        </w:rPr>
      </w:pPr>
      <w:r w:rsidRPr="00E40B23">
        <w:rPr>
          <w:szCs w:val="24"/>
        </w:rPr>
        <w:t xml:space="preserve">It is the policy of this organization that all members expected to respond and function in areas of potential hazardous contamination shall be </w:t>
      </w:r>
      <w:r w:rsidR="000E68EA">
        <w:rPr>
          <w:szCs w:val="24"/>
        </w:rPr>
        <w:t>aware of fire scene safety hazards</w:t>
      </w:r>
      <w:r w:rsidR="00AF3B16">
        <w:rPr>
          <w:szCs w:val="24"/>
        </w:rPr>
        <w:t xml:space="preserve"> and report such hazards to the Safety Officer. Each member shall adhere to directives issued by the Safety Officer. </w:t>
      </w:r>
    </w:p>
    <w:p w14:paraId="0D62533A" w14:textId="77777777" w:rsidR="00314A22" w:rsidRDefault="00314A22" w:rsidP="00314A22">
      <w:pPr>
        <w:pStyle w:val="BodyText2"/>
      </w:pPr>
    </w:p>
    <w:p w14:paraId="101F9763" w14:textId="77777777" w:rsidR="00314A22" w:rsidRDefault="00314A22" w:rsidP="00314A22">
      <w:pPr>
        <w:jc w:val="both"/>
        <w:rPr>
          <w:b/>
          <w:sz w:val="22"/>
          <w:u w:val="single"/>
        </w:rPr>
      </w:pPr>
      <w:r>
        <w:rPr>
          <w:b/>
          <w:sz w:val="22"/>
        </w:rPr>
        <w:t>4.0</w:t>
      </w:r>
      <w:r>
        <w:rPr>
          <w:sz w:val="22"/>
        </w:rPr>
        <w:tab/>
      </w:r>
      <w:r>
        <w:rPr>
          <w:b/>
          <w:sz w:val="22"/>
          <w:u w:val="single"/>
        </w:rPr>
        <w:t>Procedure:</w:t>
      </w:r>
    </w:p>
    <w:p w14:paraId="26FF7719" w14:textId="77777777" w:rsidR="000E68EA" w:rsidRDefault="000E68EA" w:rsidP="000E68EA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0E68EA">
        <w:rPr>
          <w:szCs w:val="24"/>
        </w:rPr>
        <w:t>A Safety Officer shall be designated at each incident where investigators are conducting fire scene investigations.</w:t>
      </w:r>
    </w:p>
    <w:p w14:paraId="3188D486" w14:textId="77777777" w:rsidR="00AF3B16" w:rsidRPr="000E68EA" w:rsidRDefault="00AF3B16" w:rsidP="000E68EA">
      <w:pPr>
        <w:pStyle w:val="ListParagraph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The appointed Safety Officer shall have received appropriate training as a Safety Officer.</w:t>
      </w:r>
    </w:p>
    <w:p w14:paraId="694DD55F" w14:textId="77777777" w:rsidR="00E40B23" w:rsidRPr="00E40B23" w:rsidRDefault="00E40B23" w:rsidP="000E6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8"/>
        <w:jc w:val="both"/>
        <w:rPr>
          <w:rFonts w:eastAsiaTheme="minorHAnsi" w:cs="Arial"/>
          <w:color w:val="000000"/>
          <w:szCs w:val="24"/>
        </w:rPr>
      </w:pPr>
      <w:r w:rsidRPr="00E40B23">
        <w:rPr>
          <w:rFonts w:eastAsiaTheme="minorHAnsi" w:cs="Arial"/>
          <w:color w:val="000000"/>
          <w:szCs w:val="24"/>
        </w:rPr>
        <w:t>While ICS typically follows along the chain of command, the S</w:t>
      </w:r>
      <w:r>
        <w:rPr>
          <w:rFonts w:eastAsiaTheme="minorHAnsi" w:cs="Arial"/>
          <w:color w:val="000000"/>
          <w:szCs w:val="24"/>
        </w:rPr>
        <w:t>afety Officer</w:t>
      </w:r>
      <w:r w:rsidRPr="00E40B23">
        <w:rPr>
          <w:rFonts w:eastAsiaTheme="minorHAnsi" w:cs="Arial"/>
          <w:color w:val="000000"/>
          <w:szCs w:val="24"/>
        </w:rPr>
        <w:t xml:space="preserve"> has the authority to correct unsafe actions or to remove responders from the threat of immediate danger. </w:t>
      </w:r>
    </w:p>
    <w:p w14:paraId="69FF7C4B" w14:textId="77777777" w:rsidR="00E40B23" w:rsidRPr="00E40B23" w:rsidRDefault="00E40B23" w:rsidP="000E6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8"/>
        <w:jc w:val="both"/>
        <w:rPr>
          <w:rFonts w:eastAsiaTheme="minorHAnsi" w:cs="Arial"/>
          <w:color w:val="000000"/>
          <w:szCs w:val="24"/>
        </w:rPr>
      </w:pPr>
      <w:r w:rsidRPr="00E40B23">
        <w:rPr>
          <w:rFonts w:eastAsiaTheme="minorHAnsi" w:cs="Arial"/>
          <w:color w:val="000000"/>
          <w:szCs w:val="24"/>
        </w:rPr>
        <w:t>Should the S</w:t>
      </w:r>
      <w:r>
        <w:rPr>
          <w:rFonts w:eastAsiaTheme="minorHAnsi" w:cs="Arial"/>
          <w:color w:val="000000"/>
          <w:szCs w:val="24"/>
        </w:rPr>
        <w:t>afety Officer</w:t>
      </w:r>
      <w:r w:rsidRPr="00E40B23">
        <w:rPr>
          <w:rFonts w:eastAsiaTheme="minorHAnsi" w:cs="Arial"/>
          <w:color w:val="000000"/>
          <w:szCs w:val="24"/>
        </w:rPr>
        <w:t xml:space="preserve"> take action to remove responders from the threat of danger, the </w:t>
      </w:r>
      <w:r w:rsidR="000E68EA">
        <w:rPr>
          <w:rFonts w:eastAsiaTheme="minorHAnsi" w:cs="Arial"/>
          <w:color w:val="000000"/>
          <w:szCs w:val="24"/>
        </w:rPr>
        <w:t xml:space="preserve">Investigation’s </w:t>
      </w:r>
      <w:r w:rsidRPr="00E40B23">
        <w:rPr>
          <w:rFonts w:eastAsiaTheme="minorHAnsi" w:cs="Arial"/>
          <w:color w:val="000000"/>
          <w:szCs w:val="24"/>
        </w:rPr>
        <w:t>I</w:t>
      </w:r>
      <w:r>
        <w:rPr>
          <w:rFonts w:eastAsiaTheme="minorHAnsi" w:cs="Arial"/>
          <w:color w:val="000000"/>
          <w:szCs w:val="24"/>
        </w:rPr>
        <w:t xml:space="preserve">ncident </w:t>
      </w:r>
      <w:r w:rsidRPr="00E40B23">
        <w:rPr>
          <w:rFonts w:eastAsiaTheme="minorHAnsi" w:cs="Arial"/>
          <w:color w:val="000000"/>
          <w:szCs w:val="24"/>
        </w:rPr>
        <w:t>C</w:t>
      </w:r>
      <w:r>
        <w:rPr>
          <w:rFonts w:eastAsiaTheme="minorHAnsi" w:cs="Arial"/>
          <w:color w:val="000000"/>
          <w:szCs w:val="24"/>
        </w:rPr>
        <w:t>ommander</w:t>
      </w:r>
      <w:r w:rsidRPr="00E40B23">
        <w:rPr>
          <w:rFonts w:eastAsiaTheme="minorHAnsi" w:cs="Arial"/>
          <w:color w:val="000000"/>
          <w:szCs w:val="24"/>
        </w:rPr>
        <w:t xml:space="preserve"> must be advised as to the action taken and the reason for the action. </w:t>
      </w:r>
    </w:p>
    <w:p w14:paraId="095040D6" w14:textId="77777777" w:rsidR="00E40B23" w:rsidRPr="00E40B23" w:rsidRDefault="00E40B23" w:rsidP="000E6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8"/>
        <w:jc w:val="both"/>
        <w:rPr>
          <w:rFonts w:eastAsiaTheme="minorHAnsi" w:cs="Arial"/>
          <w:color w:val="000000"/>
          <w:szCs w:val="24"/>
          <w:u w:val="single"/>
        </w:rPr>
      </w:pPr>
      <w:r w:rsidRPr="00E40B23">
        <w:rPr>
          <w:rFonts w:eastAsiaTheme="minorHAnsi" w:cs="Arial"/>
          <w:color w:val="000000"/>
          <w:szCs w:val="24"/>
          <w:u w:val="single"/>
        </w:rPr>
        <w:t xml:space="preserve">The Safety Officer has the authority to </w:t>
      </w:r>
      <w:r w:rsidRPr="00E40B23">
        <w:rPr>
          <w:rFonts w:eastAsiaTheme="minorHAnsi" w:cs="Arial"/>
          <w:i/>
          <w:iCs/>
          <w:color w:val="000000"/>
          <w:szCs w:val="24"/>
          <w:u w:val="single"/>
        </w:rPr>
        <w:t xml:space="preserve">alter, suspend, or terminate unsafe acts or hazardous activities. </w:t>
      </w:r>
    </w:p>
    <w:p w14:paraId="66D40152" w14:textId="77777777" w:rsidR="000E68EA" w:rsidRDefault="00E40B23" w:rsidP="000E6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8"/>
        <w:jc w:val="both"/>
        <w:rPr>
          <w:rFonts w:eastAsiaTheme="minorHAnsi" w:cs="Arial"/>
          <w:color w:val="000000"/>
          <w:szCs w:val="24"/>
        </w:rPr>
      </w:pPr>
      <w:r w:rsidRPr="00E40B23">
        <w:rPr>
          <w:rFonts w:eastAsiaTheme="minorHAnsi" w:cs="Arial"/>
          <w:color w:val="000000"/>
          <w:szCs w:val="24"/>
        </w:rPr>
        <w:t>The S</w:t>
      </w:r>
      <w:r>
        <w:rPr>
          <w:rFonts w:eastAsiaTheme="minorHAnsi" w:cs="Arial"/>
          <w:color w:val="000000"/>
          <w:szCs w:val="24"/>
        </w:rPr>
        <w:t xml:space="preserve">afety </w:t>
      </w:r>
      <w:r w:rsidRPr="00E40B23">
        <w:rPr>
          <w:rFonts w:eastAsiaTheme="minorHAnsi" w:cs="Arial"/>
          <w:color w:val="000000"/>
          <w:szCs w:val="24"/>
        </w:rPr>
        <w:t>O</w:t>
      </w:r>
      <w:r>
        <w:rPr>
          <w:rFonts w:eastAsiaTheme="minorHAnsi" w:cs="Arial"/>
          <w:color w:val="000000"/>
          <w:szCs w:val="24"/>
        </w:rPr>
        <w:t xml:space="preserve">fficer </w:t>
      </w:r>
      <w:r w:rsidRPr="00E40B23">
        <w:rPr>
          <w:rFonts w:eastAsiaTheme="minorHAnsi" w:cs="Arial"/>
          <w:color w:val="000000"/>
          <w:szCs w:val="24"/>
        </w:rPr>
        <w:t xml:space="preserve">is responsible for identifying and communicating existing or potential hazards that do not present an imminent threat to responder safety to assure incorporation of these potential hazards by the </w:t>
      </w:r>
      <w:r w:rsidR="000E68EA">
        <w:rPr>
          <w:rFonts w:eastAsiaTheme="minorHAnsi" w:cs="Arial"/>
          <w:color w:val="000000"/>
          <w:szCs w:val="24"/>
        </w:rPr>
        <w:t>Investigation Incident Commander into the ongoing incident action plan.</w:t>
      </w:r>
    </w:p>
    <w:p w14:paraId="6E438DBD" w14:textId="77777777" w:rsidR="00E40B23" w:rsidRPr="00E40B23" w:rsidRDefault="00E40B23" w:rsidP="000E68E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</w:rPr>
      </w:pPr>
      <w:r w:rsidRPr="00E40B23">
        <w:rPr>
          <w:rFonts w:eastAsiaTheme="minorHAnsi" w:cs="Arial"/>
          <w:color w:val="000000"/>
          <w:szCs w:val="24"/>
        </w:rPr>
        <w:t xml:space="preserve">Every </w:t>
      </w:r>
      <w:r w:rsidR="000E68EA">
        <w:rPr>
          <w:rFonts w:eastAsiaTheme="minorHAnsi" w:cs="Arial"/>
          <w:color w:val="000000"/>
          <w:szCs w:val="24"/>
        </w:rPr>
        <w:t xml:space="preserve">member </w:t>
      </w:r>
      <w:r w:rsidRPr="00E40B23">
        <w:rPr>
          <w:rFonts w:eastAsiaTheme="minorHAnsi" w:cs="Arial"/>
          <w:color w:val="000000"/>
          <w:szCs w:val="24"/>
        </w:rPr>
        <w:t xml:space="preserve">bears full responsibility for adherence to this guideline. </w:t>
      </w:r>
    </w:p>
    <w:p w14:paraId="30A17B88" w14:textId="77777777" w:rsidR="00700AFF" w:rsidRPr="000030FA" w:rsidRDefault="00700AFF" w:rsidP="00700AFF">
      <w:pPr>
        <w:pStyle w:val="BodyText"/>
        <w:spacing w:after="0"/>
        <w:ind w:left="1800"/>
        <w:jc w:val="both"/>
        <w:rPr>
          <w:strike/>
          <w:sz w:val="22"/>
        </w:rPr>
      </w:pPr>
    </w:p>
    <w:p w14:paraId="3E0CCB3A" w14:textId="77777777" w:rsidR="000030FA" w:rsidRDefault="000030FA" w:rsidP="000030FA">
      <w:pPr>
        <w:pStyle w:val="BodyText"/>
        <w:spacing w:after="0"/>
        <w:ind w:left="720"/>
        <w:jc w:val="both"/>
        <w:rPr>
          <w:sz w:val="22"/>
        </w:rPr>
      </w:pPr>
      <w:r w:rsidRPr="000030FA">
        <w:rPr>
          <w:b/>
          <w:sz w:val="22"/>
        </w:rPr>
        <w:t>5.0</w:t>
      </w:r>
      <w:r>
        <w:rPr>
          <w:sz w:val="22"/>
        </w:rPr>
        <w:tab/>
      </w:r>
      <w:r w:rsidRPr="000030FA">
        <w:rPr>
          <w:b/>
          <w:sz w:val="22"/>
          <w:u w:val="single"/>
        </w:rPr>
        <w:t>Definition</w:t>
      </w:r>
      <w:r w:rsidR="00385AD4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:</w:t>
      </w:r>
    </w:p>
    <w:p w14:paraId="0BDD3A1A" w14:textId="77777777" w:rsidR="00314A22" w:rsidRPr="00AF3B16" w:rsidRDefault="00A64A6C" w:rsidP="00AF3B16">
      <w:pPr>
        <w:pStyle w:val="BodyText"/>
        <w:spacing w:after="0"/>
        <w:ind w:left="1440"/>
        <w:jc w:val="both"/>
        <w:rPr>
          <w:sz w:val="22"/>
          <w:u w:val="single"/>
        </w:rPr>
      </w:pPr>
      <w:r w:rsidRPr="00AF3B16">
        <w:rPr>
          <w:szCs w:val="24"/>
        </w:rPr>
        <w:t>T</w:t>
      </w:r>
      <w:r w:rsidRPr="00AF3B16">
        <w:rPr>
          <w:bCs/>
          <w:szCs w:val="24"/>
        </w:rPr>
        <w:t xml:space="preserve">he Safety Officer is an essential component of the Incident Command System (ICS) under which the Tarrant County Fire &amp; Arson Investigation Task Force Operates. The Safety Officer monitors and assesses safety hazards or unsafe situations and develops measures for ensuring personnel safety. </w:t>
      </w:r>
      <w:r w:rsidR="000030FA" w:rsidRPr="00AF3B16">
        <w:rPr>
          <w:rFonts w:cs="Arial"/>
          <w:szCs w:val="24"/>
          <w:lang w:val="en"/>
        </w:rPr>
        <w:t xml:space="preserve"> </w:t>
      </w:r>
    </w:p>
    <w:p w14:paraId="410ABC9B" w14:textId="77777777" w:rsidR="009962AC" w:rsidRDefault="009962AC"/>
    <w:sectPr w:rsidR="009962AC" w:rsidSect="00700A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7D9E" w14:textId="77777777" w:rsidR="009962AC" w:rsidRDefault="009962AC" w:rsidP="009962AC">
      <w:r>
        <w:separator/>
      </w:r>
    </w:p>
  </w:endnote>
  <w:endnote w:type="continuationSeparator" w:id="0">
    <w:p w14:paraId="4EF38B56" w14:textId="77777777" w:rsidR="009962AC" w:rsidRDefault="009962AC" w:rsidP="0099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9A5F" w14:textId="77777777" w:rsidR="009962AC" w:rsidRDefault="009962AC" w:rsidP="009962AC">
      <w:r>
        <w:separator/>
      </w:r>
    </w:p>
  </w:footnote>
  <w:footnote w:type="continuationSeparator" w:id="0">
    <w:p w14:paraId="14955875" w14:textId="77777777" w:rsidR="009962AC" w:rsidRDefault="009962AC" w:rsidP="0099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7"/>
      <w:gridCol w:w="3173"/>
      <w:gridCol w:w="720"/>
      <w:gridCol w:w="3960"/>
    </w:tblGrid>
    <w:tr w:rsidR="009962AC" w14:paraId="656B31DB" w14:textId="77777777" w:rsidTr="00077362">
      <w:trPr>
        <w:trHeight w:val="1070"/>
      </w:trPr>
      <w:tc>
        <w:tcPr>
          <w:tcW w:w="1687" w:type="dxa"/>
        </w:tcPr>
        <w:p w14:paraId="461DB9FD" w14:textId="77777777" w:rsidR="009962AC" w:rsidRDefault="00314A22" w:rsidP="009962AC">
          <w:r w:rsidRPr="00314A22">
            <w:rPr>
              <w:noProof/>
            </w:rPr>
            <w:drawing>
              <wp:inline distT="0" distB="0" distL="0" distR="0" wp14:anchorId="07C5192C" wp14:editId="2F63549F">
                <wp:extent cx="857250" cy="781050"/>
                <wp:effectExtent l="0" t="0" r="0" b="0"/>
                <wp:docPr id="2" name="Picture 2" descr="\\COB-files\COBDATA\Fire\FDAdmin\jlankford\My Pictures\Picture\TCFAIAPat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\\COB-files\COBDATA\Fire\FDAdmin\jlankford\My Pictures\Picture\TCFAIAPat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gridSpan w:val="3"/>
        </w:tcPr>
        <w:p w14:paraId="7D7502A3" w14:textId="77777777" w:rsidR="009962AC" w:rsidRDefault="009962AC" w:rsidP="009962AC">
          <w:pPr>
            <w:jc w:val="center"/>
          </w:pPr>
        </w:p>
        <w:p w14:paraId="0CF31E5B" w14:textId="77777777" w:rsidR="009962AC" w:rsidRDefault="009962AC" w:rsidP="009962AC">
          <w:pPr>
            <w:pStyle w:val="Heading1"/>
            <w:rPr>
              <w:sz w:val="24"/>
            </w:rPr>
          </w:pPr>
          <w:r>
            <w:rPr>
              <w:sz w:val="24"/>
            </w:rPr>
            <w:t>TARRANT COUNTY FIRE &amp; ARSON INVESTIGATION TASK FORCE</w:t>
          </w:r>
        </w:p>
        <w:p w14:paraId="65E03557" w14:textId="77777777" w:rsidR="009962AC" w:rsidRDefault="009962AC" w:rsidP="009962AC">
          <w:pPr>
            <w:jc w:val="center"/>
            <w:rPr>
              <w:b/>
            </w:rPr>
          </w:pPr>
          <w:r>
            <w:rPr>
              <w:b/>
            </w:rPr>
            <w:t>STANDARD OPERATING PROCEDURE</w:t>
          </w:r>
        </w:p>
      </w:tc>
    </w:tr>
    <w:tr w:rsidR="009962AC" w14:paraId="474D32CC" w14:textId="77777777" w:rsidTr="005C208C">
      <w:trPr>
        <w:cantSplit/>
        <w:trHeight w:val="330"/>
      </w:trPr>
      <w:tc>
        <w:tcPr>
          <w:tcW w:w="5580" w:type="dxa"/>
          <w:gridSpan w:val="3"/>
          <w:vMerge w:val="restart"/>
        </w:tcPr>
        <w:p w14:paraId="5C6483EF" w14:textId="77777777" w:rsidR="009962AC" w:rsidRDefault="009962AC" w:rsidP="009962AC">
          <w:pPr>
            <w:rPr>
              <w:b/>
            </w:rPr>
          </w:pPr>
          <w:r>
            <w:rPr>
              <w:b/>
            </w:rPr>
            <w:t xml:space="preserve">SUBJECT:  </w:t>
          </w:r>
        </w:p>
        <w:p w14:paraId="17265ED0" w14:textId="77777777" w:rsidR="009962AC" w:rsidRDefault="00A64A6C" w:rsidP="009962AC">
          <w:pPr>
            <w:pStyle w:val="Header"/>
          </w:pPr>
          <w:r>
            <w:t>Safety Officer</w:t>
          </w:r>
        </w:p>
      </w:tc>
      <w:tc>
        <w:tcPr>
          <w:tcW w:w="3960" w:type="dxa"/>
          <w:tcBorders>
            <w:bottom w:val="nil"/>
          </w:tcBorders>
        </w:tcPr>
        <w:p w14:paraId="3610161F" w14:textId="77777777" w:rsidR="009962AC" w:rsidRDefault="00A64A6C" w:rsidP="009962AC">
          <w:pPr>
            <w:pStyle w:val="Heading2"/>
            <w:rPr>
              <w:b w:val="0"/>
            </w:rPr>
          </w:pPr>
          <w:r>
            <w:t>SECTION: Safety</w:t>
          </w:r>
        </w:p>
        <w:p w14:paraId="222D84D2" w14:textId="77777777" w:rsidR="009962AC" w:rsidRDefault="009962AC" w:rsidP="009962AC">
          <w:r>
            <w:rPr>
              <w:b/>
            </w:rPr>
            <w:t xml:space="preserve">SECTOR: </w:t>
          </w:r>
        </w:p>
      </w:tc>
    </w:tr>
    <w:tr w:rsidR="009962AC" w14:paraId="1FC38E02" w14:textId="77777777" w:rsidTr="005C208C">
      <w:trPr>
        <w:cantSplit/>
        <w:trHeight w:val="300"/>
      </w:trPr>
      <w:tc>
        <w:tcPr>
          <w:tcW w:w="5580" w:type="dxa"/>
          <w:gridSpan w:val="3"/>
          <w:vMerge/>
          <w:tcBorders>
            <w:bottom w:val="nil"/>
          </w:tcBorders>
        </w:tcPr>
        <w:p w14:paraId="77A29306" w14:textId="77777777" w:rsidR="009962AC" w:rsidRDefault="009962AC" w:rsidP="009962AC">
          <w:pPr>
            <w:rPr>
              <w:b/>
            </w:rPr>
          </w:pPr>
        </w:p>
      </w:tc>
      <w:tc>
        <w:tcPr>
          <w:tcW w:w="3960" w:type="dxa"/>
          <w:tcBorders>
            <w:bottom w:val="nil"/>
          </w:tcBorders>
        </w:tcPr>
        <w:p w14:paraId="32EF41FE" w14:textId="77777777" w:rsidR="009962AC" w:rsidRDefault="009962AC" w:rsidP="009962AC">
          <w:pPr>
            <w:pStyle w:val="Heading2"/>
            <w:rPr>
              <w:b w:val="0"/>
            </w:rPr>
          </w:pPr>
          <w:r>
            <w:t xml:space="preserve">PROCEDURE #: </w:t>
          </w:r>
          <w:r>
            <w:rPr>
              <w:b w:val="0"/>
            </w:rPr>
            <w:t xml:space="preserve">    </w:t>
          </w:r>
          <w:r w:rsidR="00A64A6C">
            <w:rPr>
              <w:b w:val="0"/>
            </w:rPr>
            <w:t xml:space="preserve">          2020-02</w:t>
          </w:r>
        </w:p>
      </w:tc>
    </w:tr>
    <w:tr w:rsidR="009962AC" w14:paraId="140F623F" w14:textId="77777777" w:rsidTr="005C208C">
      <w:trPr>
        <w:cantSplit/>
        <w:trHeight w:val="602"/>
      </w:trPr>
      <w:tc>
        <w:tcPr>
          <w:tcW w:w="48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2BA950" w14:textId="77777777" w:rsidR="009962AC" w:rsidRDefault="009962AC" w:rsidP="009962AC">
          <w:pPr>
            <w:rPr>
              <w:b/>
            </w:rPr>
          </w:pPr>
          <w:r>
            <w:rPr>
              <w:b/>
            </w:rPr>
            <w:t>EFFECTIVE DATE:</w:t>
          </w:r>
        </w:p>
        <w:p w14:paraId="220B1996" w14:textId="77777777" w:rsidR="009962AC" w:rsidRDefault="009962AC" w:rsidP="009962AC">
          <w:r>
            <w:rPr>
              <w:b/>
            </w:rPr>
            <w:t>January 06, 2020</w:t>
          </w:r>
        </w:p>
      </w:tc>
      <w:tc>
        <w:tcPr>
          <w:tcW w:w="468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EE159D3" w14:textId="77777777" w:rsidR="009962AC" w:rsidRDefault="009962AC" w:rsidP="009962AC">
          <w:pPr>
            <w:rPr>
              <w:b/>
            </w:rPr>
          </w:pPr>
          <w:r>
            <w:rPr>
              <w:b/>
            </w:rPr>
            <w:t>REVISION DATE / NUMBER:</w:t>
          </w:r>
        </w:p>
        <w:p w14:paraId="463FAE52" w14:textId="77777777" w:rsidR="009962AC" w:rsidRPr="00883E74" w:rsidRDefault="009962AC" w:rsidP="009962AC"/>
      </w:tc>
    </w:tr>
  </w:tbl>
  <w:p w14:paraId="2D38D84A" w14:textId="77777777" w:rsidR="009962AC" w:rsidRDefault="009962AC" w:rsidP="009962AC">
    <w:pPr>
      <w:pStyle w:val="Header"/>
    </w:pPr>
  </w:p>
  <w:p w14:paraId="78CE5AB5" w14:textId="77777777" w:rsidR="009962AC" w:rsidRDefault="00996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4A0"/>
    <w:multiLevelType w:val="singleLevel"/>
    <w:tmpl w:val="F8A44FE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310E6C"/>
    <w:multiLevelType w:val="singleLevel"/>
    <w:tmpl w:val="E0AE3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4854E90"/>
    <w:multiLevelType w:val="hybridMultilevel"/>
    <w:tmpl w:val="29BA45E2"/>
    <w:lvl w:ilvl="0" w:tplc="D0F604B6">
      <w:start w:val="4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4BD"/>
    <w:multiLevelType w:val="singleLevel"/>
    <w:tmpl w:val="5EC404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2181FCF"/>
    <w:multiLevelType w:val="multilevel"/>
    <w:tmpl w:val="9CECB8F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61234BA9"/>
    <w:multiLevelType w:val="hybridMultilevel"/>
    <w:tmpl w:val="45123620"/>
    <w:lvl w:ilvl="0" w:tplc="D0F604B6">
      <w:start w:val="4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C215E"/>
    <w:multiLevelType w:val="singleLevel"/>
    <w:tmpl w:val="9796CA7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7" w15:restartNumberingAfterBreak="0">
    <w:nsid w:val="7D7F4DAA"/>
    <w:multiLevelType w:val="singleLevel"/>
    <w:tmpl w:val="4D10DAB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</w:abstractNum>
  <w:abstractNum w:abstractNumId="8" w15:restartNumberingAfterBreak="0">
    <w:nsid w:val="7EE273AA"/>
    <w:multiLevelType w:val="singleLevel"/>
    <w:tmpl w:val="4A249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AC"/>
    <w:rsid w:val="000030FA"/>
    <w:rsid w:val="00061365"/>
    <w:rsid w:val="00077362"/>
    <w:rsid w:val="000E68EA"/>
    <w:rsid w:val="00314A22"/>
    <w:rsid w:val="003242EB"/>
    <w:rsid w:val="00383946"/>
    <w:rsid w:val="00385AD4"/>
    <w:rsid w:val="00553395"/>
    <w:rsid w:val="00700AFF"/>
    <w:rsid w:val="009962AC"/>
    <w:rsid w:val="00A64A6C"/>
    <w:rsid w:val="00AF3B16"/>
    <w:rsid w:val="00BE2A59"/>
    <w:rsid w:val="00E40B23"/>
    <w:rsid w:val="00E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70CCD"/>
  <w15:chartTrackingRefBased/>
  <w15:docId w15:val="{087FACCD-D3C7-4E06-8BC8-B00D280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62A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962A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2AC"/>
  </w:style>
  <w:style w:type="paragraph" w:styleId="Footer">
    <w:name w:val="footer"/>
    <w:basedOn w:val="Normal"/>
    <w:link w:val="FooterChar"/>
    <w:uiPriority w:val="99"/>
    <w:unhideWhenUsed/>
    <w:rsid w:val="0099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AC"/>
  </w:style>
  <w:style w:type="character" w:customStyle="1" w:styleId="Heading1Char">
    <w:name w:val="Heading 1 Char"/>
    <w:basedOn w:val="DefaultParagraphFont"/>
    <w:link w:val="Heading1"/>
    <w:rsid w:val="009962AC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62AC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314A22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314A22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E2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2A5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2A5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2A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2A59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6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1490C9C5CCA4EBDA5A6CC56A151B1" ma:contentTypeVersion="0" ma:contentTypeDescription="Create a new document." ma:contentTypeScope="" ma:versionID="3c0712755445bb20841326effc0a6a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ced848fc202b9b61a7550e2561e1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B038C-4678-4495-9372-8FAE8831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5AA4A-53ED-4A3C-9D55-0F3B2FF5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1901C-07B4-4F5E-88D8-8D644654F2EF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Bedford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Lankford, Joey</dc:creator>
  <cp:keywords/>
  <dc:description/>
  <cp:lastModifiedBy>Keith J. Ebel</cp:lastModifiedBy>
  <cp:revision>2</cp:revision>
  <cp:lastPrinted>2020-02-05T19:48:00Z</cp:lastPrinted>
  <dcterms:created xsi:type="dcterms:W3CDTF">2020-02-05T19:48:00Z</dcterms:created>
  <dcterms:modified xsi:type="dcterms:W3CDTF">2020-02-05T19:48:00Z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0x010100AAF1490C9C5CCA4EBDA5A6CC56A151B1</vt:lpwstr>
  </property>
</Properties>
</file>